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a90d91d41cb07d6438367ae0d3bdd348215c1"/>
    <w:p>
      <w:pPr>
        <w:pStyle w:val="Heading3"/>
      </w:pPr>
      <w:r>
        <w:t xml:space="preserve">Принято решение о демонтаже незаконно размещенных объектов</w:t>
      </w:r>
    </w:p>
    <w:p>
      <w:pPr>
        <w:pStyle w:val="FirstParagraph"/>
      </w:pPr>
      <w:r>
        <w:t xml:space="preserve">30.06.2017</w:t>
      </w:r>
    </w:p>
    <w:p>
      <w:pPr>
        <w:pStyle w:val="BodyText"/>
      </w:pPr>
      <w:r>
        <w:t xml:space="preserve">Окружной комиссией по пресечению самовольного строительства на территории Северо-Западного административного округа города Москвы от 08.06.2017 № 05/17 принято решение о демонтаже незаконно размещенных объектов, по следующим адресам: ул.Авиационная, вл.40-42 (НТО «Цветы»), ул.Маршала Бирюзова, вл.16(металлический гараж), ул.Народного Ополчения, вл.52 (металлические гаражи 65 шт).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http://schukino.mos.ru/rubric/detail/6339050.html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339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6339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2025-06-07T19:04:08Z</dcterms:created>
  <dcterms:modified xsi:type="dcterms:W3CDTF">2025-06-07T19:04:08Z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