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e65af63ad0d6d476bc6415810aa358b24d48"/>
    <w:p>
      <w:pPr>
        <w:pStyle w:val="Heading3"/>
      </w:pPr>
      <w:r>
        <w:t xml:space="preserve">Новые площадки по программе реновации выбрали в столице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22.05.2025. Перечень площадок, на которых построят жилые комплексы для переселения по программе реновации, расширился на 131 адрес. Новые площадки расположены в 11 административных округах и 45 районах Москвы.</w:t>
      </w:r>
    </w:p>
    <w:p>
      <w:pPr>
        <w:pStyle w:val="BodyText"/>
      </w:pPr>
      <w:r>
        <w:t xml:space="preserve">Постановление по данному вопросу подписал Сергей Собянин по итогам заседания Президиума Правительства Москвы.</w:t>
      </w:r>
    </w:p>
    <w:p>
      <w:pPr>
        <w:pStyle w:val="BodyText"/>
      </w:pPr>
      <w:r>
        <w:t xml:space="preserve">Из 131 адреса 129 площадок расположены на месте домов, включенных в программу реновации. Таким образом, город продолжает формировать перечень зданий, которые строят в рамках второй волны этой программы.</w:t>
      </w:r>
    </w:p>
    <w:p>
      <w:pPr>
        <w:pStyle w:val="BodyText"/>
      </w:pPr>
      <w:r>
        <w:t xml:space="preserve">«Это позволит возвести 2,7 миллиона квадратных метров нового жилья и расселить 542 старых дома, в которых живут почти 100 тысяч человек», — написал мэр Москвы в своем телеграм-канале.</w:t>
      </w:r>
    </w:p>
    <w:p>
      <w:pPr>
        <w:pStyle w:val="BodyText"/>
      </w:pPr>
      <w:r>
        <w:t xml:space="preserve">Всего в программу реновации входит 5176 домов. Это около 350 тысяч квартир общей площадью 16,4 миллиона квадратных метров. В них проживает около одного миллиона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http://schukino.mos.ru/presscenter/news/detail/12982609.html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982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982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2025-07-15T12:38:55Z</dcterms:created>
  <dcterms:modified xsi:type="dcterms:W3CDTF">2025-07-15T12:38:55Z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